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line="600" w:lineRule="exact"/>
        <w:jc w:val="center"/>
        <w:rPr>
          <w:rFonts w:ascii="文星标宋" w:hAnsi="文星标宋" w:eastAsia="文星标宋" w:cs="宋体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宋体"/>
          <w:color w:val="000000"/>
          <w:kern w:val="0"/>
          <w:sz w:val="44"/>
          <w:szCs w:val="44"/>
          <w:lang w:eastAsia="zh-CN"/>
        </w:rPr>
        <w:t>商城县</w:t>
      </w:r>
      <w:r>
        <w:rPr>
          <w:rFonts w:hint="eastAsia" w:ascii="文星标宋" w:hAnsi="文星标宋" w:eastAsia="文星标宋" w:cs="宋体"/>
          <w:color w:val="000000"/>
          <w:kern w:val="0"/>
          <w:sz w:val="44"/>
          <w:szCs w:val="44"/>
        </w:rPr>
        <w:t>人力资源和社会保障局重大行政执法决定法制审核目录清单</w:t>
      </w:r>
    </w:p>
    <w:p/>
    <w:tbl>
      <w:tblPr>
        <w:tblW w:w="14459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1102"/>
        <w:gridCol w:w="3045"/>
        <w:gridCol w:w="3933"/>
        <w:gridCol w:w="5811"/>
      </w:tblGrid>
      <w:tr>
        <w:trPr>
          <w:trHeight w:val="5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执法项目大类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审核的具体执法决定项目</w:t>
            </w:r>
          </w:p>
        </w:tc>
        <w:tc>
          <w:tcPr>
            <w:tcW w:w="3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应提交的审核资料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审核重点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行政许可类决定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需以人民政府名义作出行政许可决定的；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《行政许可申请书》《核查笔录》《行政许可决定书（代拟稿）》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审核申请材料是否齐备、现场调查核实认定事实是否清楚、证据是否确凿，程序是否合法。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拟作出的不予（变更、延续）行政许可决定或者撤销行政许可决定；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《不予（变更、延续）行政许可决定书（法核稿）》《撤销行政许可决定（法核稿）》及其情况说明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不予（变更、延续）、撤销行政许可的事实是否清楚和理由是否适当、依据是否充分，程序是否合法。</w:t>
            </w:r>
          </w:p>
        </w:tc>
      </w:tr>
      <w:tr>
        <w:trPr>
          <w:trHeight w:val="79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行政许可利害关系人提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>出陈述、申辩的行政许可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《行政许可申请书》《核查笔录》《陈述（申辩）笔录》《行政许可决定书（法核稿）》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审核申请材料是否齐备、现场调查核实认定事实是否清楚、是否告知并听取利害关系人陈述申辩权、证据是否确凿、程序是否合法。</w:t>
            </w:r>
          </w:p>
        </w:tc>
      </w:tr>
      <w:tr>
        <w:trPr>
          <w:trHeight w:val="8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经特别程序（听证、招标、拍卖、检验、监测、鉴定和专家评审等）审查的行政许可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《行政许可申请书》《核查笔录》《行政许可听证笔录》《专家评审讨论记录》《行政许可决定书(法核稿)》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审核申请材料是否齐备、现场调查核实认定事实是否清楚、是否对听证进行公告、举行听证和专家评审的程序是否合法，认定事实是否准确、证据是否确凿、程序是否合法。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案件承办机构负责人认为应当提请法制审核的其他重大、复杂、疑难的行政许可决定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《行政许可申请书》《核查笔录》《行政许可决定书（法核稿）》及其情况说明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审核申请材料是否齐备、现场调查核实认定事实是否清楚、认定事实是否准确、证据是否确凿、程序是否合法。</w:t>
            </w:r>
          </w:p>
        </w:tc>
      </w:tr>
      <w:tr>
        <w:trPr>
          <w:trHeight w:val="106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行政处罚类决定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适用一般程序的行政处罚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《调查终结报告》《陈述申辩笔录》《行政处罚决定书（法核稿）》和相关证据资料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</w:tr>
      <w:tr>
        <w:trPr>
          <w:trHeight w:val="1361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其他行政执法决定涉嫌犯罪需要移送司法机关的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《行政处罚案件处理内部审批表》《行政违法案件移送函（法核稿）》和案件情况调查报告、涉嫌犯罪案件有关材料、涉案物品清单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涉嫌犯罪的事实是否清楚，证据是否确凿、充分，适用依据是否准确；调查办案程序是否合法。</w:t>
            </w:r>
          </w:p>
        </w:tc>
      </w:tr>
    </w:tbl>
    <w:p/>
    <w:sectPr>
      <w:pgSz w:w="16838" w:h="11906" w:orient="landscape"/>
      <w:pgMar w:top="156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844</Characters>
  <Lines>7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2021-09-02T02:07:00Z</dcterms:created>
  <dc:creator>hp</dc:creator>
  <cp:lastModifiedBy>Administrator</cp:lastModifiedBy>
  <dcterms:modified xsi:type="dcterms:W3CDTF">2021-12-17T09:20:05Z</dcterms:modified>
  <dc:title>信阳市人力资源和社会保障局重大行政执法决定法制审核目录清单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