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image/x-emf" PartName="/word/media/image2.emf"/>
  <Override ContentType="image/x-emf" PartName="/word/media/image3.emf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</w:pPr>
    </w:p>
    <w:p>
      <w:pPr>
        <w:widowControl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华文仿宋" w:eastAsia="楷体_GB2312" w:cs="宋体"/>
          <w:color w:val="000000"/>
          <w:kern w:val="0"/>
          <w:sz w:val="28"/>
          <w:szCs w:val="28"/>
        </w:rPr>
        <w:t>人力资源服务机构设立审批业务经办流程图</w:t>
      </w:r>
    </w:p>
    <w:p>
      <w:pPr>
        <w:widowControl/>
        <w:jc w:val="left"/>
      </w:pPr>
    </w:p>
    <w:p>
      <w:pPr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5" o:spid="_x0000_s1026" style="position:absolute;left:0;margin-left:-18.75pt;margin-top:8.7pt;height:534.15pt;width:436.05pt;rotation:0f;z-index:251664384;" coordorigin="702,4110" coordsize="8721,10683">
            <o:lock v:ext="edit" position="f" selection="f" grouping="f" rotation="f" cropping="f" text="f" aspectratio="f"/>
            <v:shape id="流程图: 终止 1026" o:spid="_x0000_s1027" type="#_x0000_t116" style="position:absolute;left:3537;top:4110;height:555;width:1590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开</w:t>
                    </w:r>
                    <w:r>
                      <w:rPr>
                        <w:rFonts w:hint="eastAsia"/>
                        <w:sz w:val="22"/>
                      </w:rPr>
                      <w:t xml:space="preserve">  </w:t>
                    </w:r>
                    <w:r>
                      <w:rPr>
                        <w:sz w:val="22"/>
                      </w:rPr>
                      <w:t>始</w:t>
                    </w:r>
                  </w:p>
                </w:txbxContent>
              </v:textbox>
            </v:shape>
            <v:rect id="矩形 1027" o:spid="_x0000_s1028" style="position:absolute;left:3387;top:5238;height:555;width:193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收</w:t>
                    </w:r>
                    <w:r>
                      <w:rPr>
                        <w:rFonts w:hint="eastAsia"/>
                        <w:sz w:val="22"/>
                      </w:rPr>
                      <w:t xml:space="preserve">  </w:t>
                    </w:r>
                    <w:r>
                      <w:rPr>
                        <w:sz w:val="22"/>
                      </w:rPr>
                      <w:t>件</w:t>
                    </w:r>
                  </w:p>
                </w:txbxContent>
              </v:textbox>
            </v:rect>
            <v:shape id="流程图: 终止 1028" o:spid="_x0000_s1029" type="#_x0000_t116" style="position:absolute;left:8082;top:8235;height:573;width:1290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结束</w:t>
                    </w:r>
                  </w:p>
                </w:txbxContent>
              </v:textbox>
            </v:shape>
            <v:shape id="流程图: 决策 1029" o:spid="_x0000_s1030" type="#_x0000_t110" style="position:absolute;left:3327;top:6984;height:1140;width:2010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受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理</w:t>
                    </w:r>
                  </w:p>
                </w:txbxContent>
              </v:textbox>
            </v:shape>
            <v:shape id="流程图: 决策 1030" o:spid="_x0000_s1031" type="#_x0000_t110" style="position:absolute;left:3312;top:9135;height:1140;width:2010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审核</w:t>
                    </w:r>
                  </w:p>
                </w:txbxContent>
              </v:textbox>
            </v:shape>
            <v:rect id="矩形 1031" o:spid="_x0000_s1032" style="position:absolute;left:3072;top:11808;height:816;width:2670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办  结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15个工作日</w:t>
                    </w:r>
                  </w:p>
                </w:txbxContent>
              </v:textbox>
            </v:rect>
            <v:rect id="矩形 1032" o:spid="_x0000_s1033" style="position:absolute;left:3402;top:12987;height:660;width:193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送  达</w:t>
                    </w:r>
                  </w:p>
                </w:txbxContent>
              </v:textbox>
            </v:rect>
            <v:shape id="直接连接符 1033" o:spid="_x0000_s1034" type="#_x0000_t32" style="position:absolute;left:4317;top:4665;height:573;width: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4" o:spid="_x0000_s1035" type="#_x0000_t32" style="position:absolute;left:4318;top:8793;height:342;width: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5" o:spid="_x0000_s1036" type="#_x0000_t32" style="position:absolute;left:4335;top:12624;height:363;width: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6" o:spid="_x0000_s1037" type="#_x0000_t32" style="position:absolute;left:4336;top:13647;height:573;width: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矩形 1037" o:spid="_x0000_s1038" style="position:absolute;left:5637;top:7362;height:456;width:1452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style="mso-fit-shape-to-text:t;">
                <w:txbxContent>
                  <w:p>
                    <w:pPr>
                      <w:jc w:val="center"/>
                    </w:pPr>
                    <w:r>
                      <w:t>不符合条件</w:t>
                    </w:r>
                  </w:p>
                </w:txbxContent>
              </v:textbox>
            </v:rect>
            <v:shape id="流程图: 终止 1038" o:spid="_x0000_s1039" type="#_x0000_t116" style="position:absolute;left:3684;top:14220;height:573;width:1290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结束</w:t>
                    </w:r>
                  </w:p>
                </w:txbxContent>
              </v:textbox>
            </v:shape>
            <v:rect id="矩形 1039" o:spid="_x0000_s1040" style="position:absolute;left:7908;top:7388;height:453;width:151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告知原因</w:t>
                    </w:r>
                  </w:p>
                </w:txbxContent>
              </v:textbox>
            </v:rect>
            <v:shape id="直接连接符 1040" o:spid="_x0000_s1041" type="#_x0000_t32" style="position:absolute;left:8711;top:7841;height:357;width: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41" o:spid="_x0000_s1042" type="#_x0000_t32" style="position:absolute;left:7097;top:7554;height:0;width:81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矩形 1042" o:spid="_x0000_s1043" style="position:absolute;left:702;top:5793;height:829;width:20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退回材料</w:t>
                    </w:r>
                    <w:r>
                      <w:rPr>
                        <w:sz w:val="20"/>
                      </w:rPr>
                      <w:t>并一次性告知需补齐的材料</w:t>
                    </w:r>
                  </w:p>
                </w:txbxContent>
              </v:textbox>
            </v:rect>
            <v:shape id="直接连接符 1043" o:spid="_x0000_s1044" type="#_x0000_t32" style="position:absolute;left:1707;top:5433;height:0;width:168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44" o:spid="_x0000_s1045" type="#_x0000_t32" style="position:absolute;left:1002;top:6622;flip:y;height:993;width: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矩形 1045" o:spid="_x0000_s1046" style="position:absolute;left:1409;top:7393;height:456;width:119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t>材料不全</w:t>
                    </w:r>
                  </w:p>
                </w:txbxContent>
              </v:textbox>
            </v:rect>
            <v:shape id="直接连接符 1046" o:spid="_x0000_s1047" type="#_x0000_t32" style="position:absolute;left:4332;top:8124;height:327;width: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</v:shape>
            <v:shape id="直接连接符 1047" o:spid="_x0000_s1048" type="#_x0000_t32" style="position:absolute;left:4317;top:10275;height:573;width: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矩形 1048" o:spid="_x0000_s1049" style="position:absolute;left:3387;top:10836;height:597;width:1950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决定</w:t>
                    </w:r>
                  </w:p>
                </w:txbxContent>
              </v:textbox>
            </v:rect>
            <v:shape id="直接连接符 1049" o:spid="_x0000_s1050" type="#_x0000_t32" style="position:absolute;left:4334;top:11433;height:375;width: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" o:spid="_x0000_s1051" type="#_x0000_t32" style="position:absolute;left:0;margin-left:31.5pt;margin-top:12.45pt;height:18pt;width:0.05pt;rotation:0f;z-index:251660288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2" o:spid="_x0000_s1052" type="#_x0000_t32" style="position:absolute;left:0;margin-left:162pt;margin-top:14.85pt;height:59.55pt;width:0.05pt;rotation:0f;z-index:251658240;" o:ole="f" fillcolor="#FFFFFF" filled="t" o:preferrelative="t" stroked="t" coordorigin="0,0" coordsize="21600,21600">
            <v:stroke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3" o:spid="_x0000_s1053" type="#_x0000_t32" style="position:absolute;left:0;margin-left:-3pt;margin-top:12.3pt;height:0.05pt;width:20.3pt;rotation:0f;z-index:251662336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4" o:spid="_x0000_s1054" type="#_x0000_t32" style="position:absolute;left:0;margin-left:69.75pt;margin-top:9.35pt;height:0.05pt;width:42.75pt;rotation:0f;z-index:251661312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6" o:spid="_x0000_s1055" type="#_x0000_t32" style="position:absolute;left:0;margin-left:212.25pt;margin-top:9.3pt;height:0.05pt;width:16.5pt;rotation:0f;z-index:251659264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5" o:spid="_x0000_s1056" style="position:absolute;left:0;margin-left:93.75pt;margin-top:7.35pt;height:22.65pt;width:139.5pt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向申请人出具书面凭证</w:t>
                  </w:r>
                </w:p>
              </w:txbxContent>
            </v:textbox>
          </v:rect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4830" w:firstLineChars="2300"/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/>
    <w:p/>
    <w:p/>
    <w:p/>
    <w:p>
      <w:pPr>
        <w:ind w:firstLine="360" w:firstLineChars="100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 w:ascii="楷体_GB2312" w:hAnsi="华文仿宋" w:eastAsia="楷体_GB2312" w:cs="宋体"/>
          <w:color w:val="000000"/>
          <w:kern w:val="0"/>
          <w:sz w:val="28"/>
          <w:szCs w:val="28"/>
        </w:rPr>
        <w:t>申请设立劳务派遣公司经办流程图</w: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object>
          <v:shape id="_x0000_s1057" type="#_x0000_t75" style="height:500.1pt;width:415.6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7" DrawAspect="Content" ObjectID="_1056" r:id="rId5"/>
        </w:object>
      </w:r>
    </w:p>
    <w:p>
      <w:pPr>
        <w:widowControl/>
        <w:spacing w:before="100" w:beforeAutospacing="1" w:after="100" w:afterAutospacing="1"/>
        <w:jc w:val="center"/>
        <w:rPr>
          <w:rFonts w:hint="eastAsia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</w:rPr>
      </w:pPr>
    </w:p>
    <w:p/>
    <w:p/>
    <w:p>
      <w:pPr>
        <w:spacing w:line="600" w:lineRule="exact"/>
        <w:jc w:val="center"/>
        <w:rPr>
          <w:rFonts w:hint="eastAsia" w:ascii="楷体_GB2312" w:hAnsi="黑体" w:eastAsia="楷体_GB2312" w:cs="楷体_GB2312"/>
          <w:sz w:val="28"/>
          <w:szCs w:val="28"/>
        </w:rPr>
      </w:pPr>
      <w:r>
        <w:rPr>
          <w:rFonts w:hint="eastAsia" w:ascii="楷体_GB2312" w:hAnsi="黑体" w:eastAsia="楷体_GB2312" w:cs="楷体_GB2312"/>
          <w:sz w:val="28"/>
          <w:szCs w:val="28"/>
        </w:rPr>
        <w:t>民办职业技能培训机构设立审批</w:t>
      </w:r>
    </w:p>
    <w:p>
      <w:pPr>
        <w:spacing w:line="600" w:lineRule="exact"/>
        <w:jc w:val="center"/>
        <w:rPr>
          <w:rFonts w:hint="eastAsia" w:ascii="楷体_GB2312" w:hAnsi="黑体" w:eastAsia="楷体_GB2312" w:cs="楷体_GB2312"/>
          <w:sz w:val="28"/>
          <w:szCs w:val="28"/>
        </w:rPr>
      </w:pPr>
      <w:r>
        <w:rPr>
          <w:rFonts w:hint="eastAsia" w:ascii="楷体_GB2312" w:hAnsi="黑体" w:eastAsia="楷体_GB2312" w:cs="楷体_GB2312"/>
          <w:sz w:val="28"/>
          <w:szCs w:val="28"/>
        </w:rPr>
        <w:t>经办流程图</w:t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object>
          <v:shape id="_x0000_s1058" type="#_x0000_t75" style="height:613.65pt;width:392.5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8" DrawAspect="Content" ObjectID="_1057" r:id="rId7"/>
        </w:object>
      </w:r>
    </w:p>
    <w:p>
      <w:pPr>
        <w:jc w:val="center"/>
        <w:rPr>
          <w:rFonts w:ascii="楷体_GB2312" w:hAnsi="黑体" w:eastAsia="楷体_GB2312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 xml:space="preserve"> 企业实行不定时工作制和综合计算工时工作制审批</w:t>
      </w:r>
    </w:p>
    <w:p>
      <w:pPr>
        <w:jc w:val="center"/>
        <w:rPr>
          <w:rFonts w:ascii="楷体_GB2312" w:hAnsi="黑体" w:eastAsia="楷体_GB2312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经办流程图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object>
          <v:shape id="_x0000_s1059" type="#_x0000_t75" style="height:491.25pt;width:415.5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9" DrawAspect="Content" ObjectID="_1058" r:id="rId9"/>
        </w:object>
      </w:r>
    </w:p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bookmarkStart w:id="0" w:name="_GoBack"/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84" o:spid="_x0000_s1060" type="#_x0000_t75" style="height:555.2pt;width:414.9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21202105854" r:id="rId11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58" o:spid="_x0000_s1061" type="#_x0000_t75" style="height:532.5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21202105901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ind w:firstLine="0" w:firstLineChars="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1" o:spid="_x0000_s1062" style="position:absolute;left:0;margin-left:275.6pt;margin-top:29.9pt;height:158.6pt;width:223.65pt;rotation:0f;z-index:251684864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工伤认定申请原件；劳动合同文本（复印件）或其他建立劳动关系的有效证明原件；受伤害职工身份证（复印件）1份；医疗机构出具的受伤后诊断证明书或职业病诊断证明书（或者职工病诊断鉴定书）原件；职工死亡的，提交死亡证明；人社部门需要是其他相关证明材料。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" o:spid="_x0000_s1063" style="position:absolute;left:0;margin-left:15.45pt;margin-top:42.8pt;height:87.65pt;width:232.5pt;rotation:0f;z-index:251665408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b w:val="0"/>
                      <w:bCs w:val="0"/>
                      <w:sz w:val="30"/>
                      <w:szCs w:val="30"/>
                    </w:rPr>
                    <w:t>申  请</w:t>
                  </w:r>
                </w:p>
                <w:p>
                  <w:pPr>
                    <w:spacing w:line="320" w:lineRule="exact"/>
                    <w:ind w:firstLine="0" w:firstLine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b w:val="0"/>
                      <w:bCs w:val="0"/>
                      <w:sz w:val="30"/>
                      <w:szCs w:val="30"/>
                    </w:rPr>
                    <w:t>用人单位在事故发生或诊断为职业病之日起30日内，受伤害职工（或其近亲属、工会组织）在事故发生或诊断为职业病之</w:t>
                  </w: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日起1年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内提出申</w:t>
                  </w:r>
                  <w:r>
                    <w:rPr>
                      <w:rFonts w:hint="eastAsia"/>
                      <w:sz w:val="28"/>
                      <w:szCs w:val="28"/>
                    </w:rPr>
                    <w:t>请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工伤认定流程图（行政确认）</w:t>
      </w:r>
    </w:p>
    <w:p>
      <w:pPr>
        <w:ind w:firstLine="0" w:firstLineChars="0"/>
        <w:jc w:val="both"/>
      </w:pPr>
    </w:p>
    <w:p>
      <w:pPr>
        <w:ind w:firstLine="0" w:firstLineChars="0"/>
        <w:jc w:val="both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1" o:spid="_x0000_s1064" type="#_x0000_t32" style="position:absolute;left:0;margin-left:149.55pt;margin-top:82.35pt;height:33pt;width:0.05pt;rotation:0f;z-index:251675648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26" o:spid="_x0000_s1065" type="#_x0000_t32" style="position:absolute;left:0;margin-left:248.8pt;margin-top:45.6pt;height:0.75pt;width:31.5pt;rotation:0f;z-index:251685888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0" o:spid="_x0000_s1066" style="position:absolute;left:0;margin-left:55.25pt;margin-top:582.7pt;height:87pt;width:194.2pt;rotation:0f;z-index:251674624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送  达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工伤认定结论自工伤认定决定作出之日起20日内，送达用人单位及受伤害职工（或其近亲属）</w:t>
                  </w:r>
                  <w:r>
                    <w:rPr>
                      <w:rFonts w:hint="eastAsia" w:ascii="楷体" w:hAnsi="楷体" w:eastAsia="楷体" w:cs="楷体"/>
                      <w:sz w:val="30"/>
                      <w:szCs w:val="30"/>
                      <w:lang w:eastAsia="zh-CN"/>
                    </w:rPr>
                    <w:t>。</w:t>
                  </w:r>
                  <w:r>
                    <w:rPr>
                      <w:rFonts w:hint="eastAsia" w:ascii="楷体" w:hAnsi="楷体" w:eastAsia="楷体" w:cs="楷体"/>
                      <w:sz w:val="30"/>
                      <w:szCs w:val="30"/>
                      <w:lang w:val="en-US" w:eastAsia="zh-CN"/>
                    </w:rPr>
                    <w:t>结案（立卷归档）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7" o:spid="_x0000_s1067" style="position:absolute;left:0;margin-left:-13.5pt;margin-top:320.75pt;height:74.15pt;width:107.25pt;rotation:0f;z-index:251671552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申请材料不齐全的，出具《工伤认定申请补正材料通知书》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9" o:spid="_x0000_s1068" style="position:absolute;left:0;margin-left:14pt;margin-top:486.7pt;height:74.95pt;width:271.4pt;rotation:0f;z-index:251673600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决  定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自受理之日起60日内作出工伤认定决定；事实清楚、权力义务明确的工伤认定申请，自受理之日起15日内作出工伤认定决定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20" o:spid="_x0000_s1069" type="#_x0000_t32" style="position:absolute;left:0;flip:x;margin-left:151.6pt;margin-top:561.6pt;height:22.15pt;width:0.2pt;rotation:0f;z-index:251683840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9" o:spid="_x0000_s1070" type="#_x0000_t32" style="position:absolute;left:0;flip:x;margin-left:149.35pt;margin-top:460.35pt;height:26.65pt;width:0.2pt;rotation:0f;z-index:251682816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8" o:spid="_x0000_s1071" type="#_x0000_t32" style="position:absolute;left:0;flip:x;margin-left:149.35pt;margin-top:393.6pt;height:24.4pt;width:0.2pt;rotation:0f;z-index:251681792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7" o:spid="_x0000_s1072" type="#_x0000_t32" style="position:absolute;left:0;flip:x;margin-left:266.35pt;margin-top:289.35pt;height:31.9pt;width:0.2pt;rotation:0f;z-index:251680768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6" o:spid="_x0000_s1073" type="#_x0000_t32" style="position:absolute;left:0;flip:x;margin-left:42.85pt;margin-top:290.1pt;height:31.9pt;width:0.2pt;rotation:0f;z-index:251679744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5" o:spid="_x0000_s1074" type="#_x0000_t32" style="position:absolute;left:0;flip:x;margin-left:144.1pt;margin-top:289.35pt;height:31.9pt;width:0.2pt;rotation:0f;z-index:251678720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4" o:spid="_x0000_s1075" style="position:absolute;left:0;margin-left:7.05pt;margin-top:245.85pt;height:43.6pt;width:286.45pt;rotation:0f;z-index:251668480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审  查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在15日内对提交材料进行审核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3" o:spid="_x0000_s1076" type="#_x0000_t32" style="position:absolute;left:0;margin-left:146.55pt;margin-top:228.6pt;height:17.9pt;width:0.55pt;rotation:0f;z-index:251677696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直接箭头连接符 12" o:spid="_x0000_s1077" type="#_x0000_t32" style="position:absolute;left:0;flip:x;margin-left:144.1pt;margin-top:165.6pt;height:14.25pt;width:0.2pt;rotation:0f;z-index:251676672;" o:ole="f" fillcolor="#FFFFFF" filled="t" o:preferrelative="t" stroked="t" coordorigin="0,0" coordsize="21600,21600">
            <v:stroke weight="0.5pt" color="#000000" color2="#FFFFFF" opacity="100%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78" style="position:absolute;left:0;margin-left:51.25pt;margin-top:109.35pt;height:56.3pt;width:188.3pt;rotation:0f;z-index:251666432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受  理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到社会保险行政部门进行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工伤认定登记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8" o:spid="_x0000_s1079" style="position:absolute;left:0;margin-left:79.95pt;margin-top:418.45pt;height:42pt;width:139.5pt;rotation:0f;z-index:251672576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社会保险行政部门进行调查核实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5" o:spid="_x0000_s1080" style="position:absolute;left:0;margin-left:220.95pt;margin-top:319.45pt;height:75pt;width:116.3pt;rotation:0f;z-index:251669504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不符合受理范围的出具《工伤认定申请不予受理通知书》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6" o:spid="_x0000_s1081" style="position:absolute;left:0;margin-left:99.45pt;margin-top:320.2pt;height:74.15pt;width:111.75pt;rotation:0f;z-index:251670528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符合受理范围且材料齐全的，依法予以受理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3" o:spid="_x0000_s1082" style="position:absolute;left:0;margin-left:13.05pt;margin-top:180.6pt;height:49.5pt;width:275.25pt;rotation:0f;z-index:251667456;" o:ole="f" fillcolor="#FFFFFF" filled="t" o:preferrelative="t" stroked="t" coordsize="21600,21600"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向社会保险行政部门提交工伤认定申请</w:t>
                  </w:r>
                </w:p>
                <w:p>
                  <w:pPr>
                    <w:spacing w:line="320" w:lineRule="exact"/>
                    <w:ind w:firstLine="0" w:firstLineChars="0"/>
                    <w:jc w:val="center"/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</w:pPr>
                  <w:r>
                    <w:rPr>
                      <w:rFonts w:hint="eastAsia" w:ascii="楷体" w:hAnsi="楷体" w:eastAsia="楷体" w:cs="楷体"/>
                      <w:sz w:val="30"/>
                      <w:szCs w:val="30"/>
                    </w:rPr>
                    <w:t>材料（劳动关系存在争议时先申请仲裁）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oleObject" Target="embeddings/oleObject2.bin"/><Relationship Id="rId8" Type="http://schemas.openxmlformats.org/officeDocument/2006/relationships/image" Target="media/image2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4" textRotate="1"/>
    <customShpInfo spid="_x0000_s1035" textRotate="1"/>
    <customShpInfo spid="_x0000_s1036" textRotate="1"/>
    <customShpInfo spid="_x0000_s1037" textRotate="1"/>
    <customShpInfo spid="_x0000_s1041" textRotate="1"/>
    <customShpInfo spid="_x0000_s1042" textRotate="1"/>
    <customShpInfo spid="_x0000_s1044" textRotate="1"/>
    <customShpInfo spid="_x0000_s1045" textRotate="1"/>
    <customShpInfo spid="_x0000_s1047" textRotate="1"/>
    <customShpInfo spid="_x0000_s1048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  <customShpInfo spid="_x0000_s108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2022-12-01T07:20:00Z</dcterms:created>
  <dc:creator>WPS_1527840281</dc:creator>
  <cp:lastModifiedBy>Administrator</cp:lastModifiedBy>
  <dcterms:modified xsi:type="dcterms:W3CDTF">2022-12-02T03:01:39Z</dcterms:modified>
  <dc:title>人力资源服务机构设立审批业务经办流程图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A3BC2108A0E54F4E8712A9428B77812B</vt:lpwstr>
  </property>
</Properties>
</file>